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🧘 Mindfulness Journal</w:t>
      </w:r>
    </w:p>
    <w:p>
      <w:pPr>
        <w:spacing w:after="160"/>
        <w:jc w:val="center"/>
      </w:pPr>
      <w:r>
        <w:rPr>
          <w:color w:val="7A7F77"/>
          <w:sz w:val="20"/>
        </w:rPr>
        <w:t>10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Ground yourself in the present moment — observe your thoughts, body, and surroundings without judgment.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🧘 Right now, I notice...</w:t>
      </w:r>
    </w:p>
    <w:p>
      <w:pPr>
        <w:spacing w:after="40"/>
      </w:pPr>
      <w:r>
        <w:rPr>
          <w:color w:val="7A7F77"/>
          <w:sz w:val="20"/>
        </w:rPr>
        <w:t>*Describe what you see, hear, and feel in this moment.*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🫁 Body scan — where am I holding tension?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💭 What thought keeps returning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🌊 Can I observe that thought without reacting to it?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🙏 One thing I'm grateful for in this exact moment: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🌿 My intention for the rest of the day: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